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南宁市新能源电力维护项目总结</w:t>
        <w:br/>
        <w:t>与市场行情趋势分析报告（示例）</w:t>
      </w:r>
    </w:p>
    <w:p>
      <w:pPr>
        <w:jc w:val="center"/>
      </w:pPr>
      <w:r>
        <w:rPr>
          <w:i/>
          <w:sz w:val="24"/>
        </w:rPr>
        <w:t>（可打印 / 可编辑 / 甲方交付模板）</w:t>
      </w:r>
    </w:p>
    <w:p>
      <w:pPr>
        <w:jc w:val="center"/>
      </w:pPr>
      <w:r>
        <w:br/>
        <w:t>报告日期：2026-03-10</w:t>
        <w:br/>
        <w:t>说明：本报告为结构化交付示例，数据为演示口径，可按项目实况替换。</w:t>
      </w:r>
    </w:p>
    <w:p/>
    <w:p>
      <w:pPr>
        <w:pStyle w:val="Heading1"/>
      </w:pPr>
      <w:r>
        <w:t>一、项目基础信息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</w:tcPr>
          <w:p>
            <w:r>
              <w:t>项目名称</w:t>
            </w:r>
          </w:p>
        </w:tc>
        <w:tc>
          <w:tcPr>
            <w:tcW w:type="dxa" w:w="2353"/>
          </w:tcPr>
          <w:p>
            <w:r>
              <w:t>南宁区域新能源电力维护服务（示例）</w:t>
            </w:r>
          </w:p>
        </w:tc>
        <w:tc>
          <w:tcPr>
            <w:tcW w:type="dxa" w:w="2353"/>
          </w:tcPr>
          <w:p>
            <w:r>
              <w:t>项目编号</w:t>
            </w:r>
          </w:p>
        </w:tc>
        <w:tc>
          <w:tcPr>
            <w:tcW w:type="dxa" w:w="2353"/>
          </w:tcPr>
          <w:p>
            <w:r>
              <w:t>NN-NEP-2026-001</w:t>
            </w:r>
          </w:p>
        </w:tc>
      </w:tr>
      <w:tr>
        <w:tc>
          <w:tcPr>
            <w:tcW w:type="dxa" w:w="2353"/>
          </w:tcPr>
          <w:p>
            <w:r>
              <w:t>甲方单位</w:t>
            </w:r>
          </w:p>
        </w:tc>
        <w:tc>
          <w:tcPr>
            <w:tcW w:type="dxa" w:w="2353"/>
          </w:tcPr>
          <w:p>
            <w:r>
              <w:t>（填写甲方名称）</w:t>
            </w:r>
          </w:p>
        </w:tc>
        <w:tc>
          <w:tcPr>
            <w:tcW w:type="dxa" w:w="2353"/>
          </w:tcPr>
          <w:p>
            <w:r>
              <w:t>乙方单位</w:t>
            </w:r>
          </w:p>
        </w:tc>
        <w:tc>
          <w:tcPr>
            <w:tcW w:type="dxa" w:w="2353"/>
          </w:tcPr>
          <w:p>
            <w:r>
              <w:t>（填写服务商名称）</w:t>
            </w:r>
          </w:p>
        </w:tc>
      </w:tr>
      <w:tr>
        <w:tc>
          <w:tcPr>
            <w:tcW w:type="dxa" w:w="2353"/>
          </w:tcPr>
          <w:p>
            <w:r>
              <w:t>服务区域</w:t>
            </w:r>
          </w:p>
        </w:tc>
        <w:tc>
          <w:tcPr>
            <w:tcW w:type="dxa" w:w="2353"/>
          </w:tcPr>
          <w:p>
            <w:r>
              <w:t>广西南宁市（含周边协同点）</w:t>
            </w:r>
          </w:p>
        </w:tc>
        <w:tc>
          <w:tcPr>
            <w:tcW w:type="dxa" w:w="2353"/>
          </w:tcPr>
          <w:p>
            <w:r>
              <w:t>服务周期</w:t>
            </w:r>
          </w:p>
        </w:tc>
        <w:tc>
          <w:tcPr>
            <w:tcW w:type="dxa" w:w="2353"/>
          </w:tcPr>
          <w:p>
            <w:r>
              <w:t>2025-01 至 2025-12</w:t>
            </w:r>
          </w:p>
        </w:tc>
      </w:tr>
      <w:tr>
        <w:tc>
          <w:tcPr>
            <w:tcW w:type="dxa" w:w="2353"/>
          </w:tcPr>
          <w:p>
            <w:r>
              <w:t>报告类型</w:t>
            </w:r>
          </w:p>
        </w:tc>
        <w:tc>
          <w:tcPr>
            <w:tcW w:type="dxa" w:w="2353"/>
          </w:tcPr>
          <w:p>
            <w:r>
              <w:t>年度总结 + 趋势分析</w:t>
            </w:r>
          </w:p>
        </w:tc>
        <w:tc>
          <w:tcPr>
            <w:tcW w:type="dxa" w:w="2353"/>
          </w:tcPr>
          <w:p>
            <w:r>
              <w:t>保密等级</w:t>
            </w:r>
          </w:p>
        </w:tc>
        <w:tc>
          <w:tcPr>
            <w:tcW w:type="dxa" w:w="2353"/>
          </w:tcPr>
          <w:p>
            <w:r>
              <w:t>内部/对甲方</w:t>
            </w:r>
          </w:p>
        </w:tc>
      </w:tr>
      <w:tr>
        <w:tc>
          <w:tcPr>
            <w:tcW w:type="dxa" w:w="2353"/>
          </w:tcPr>
          <w:p>
            <w:r>
              <w:t>报告联系人</w:t>
            </w:r>
          </w:p>
        </w:tc>
        <w:tc>
          <w:tcPr>
            <w:tcW w:type="dxa" w:w="2353"/>
          </w:tcPr>
          <w:p>
            <w:r>
              <w:t>（填写姓名/岗位）</w:t>
            </w:r>
          </w:p>
        </w:tc>
        <w:tc>
          <w:tcPr>
            <w:tcW w:type="dxa" w:w="2353"/>
          </w:tcPr>
          <w:p>
            <w:r>
              <w:t>联系电话</w:t>
            </w:r>
          </w:p>
        </w:tc>
        <w:tc>
          <w:tcPr>
            <w:tcW w:type="dxa" w:w="2353"/>
          </w:tcPr>
          <w:p>
            <w:r>
              <w:t>（填写手机号）</w:t>
            </w:r>
          </w:p>
        </w:tc>
      </w:tr>
    </w:tbl>
    <w:p>
      <w:pPr>
        <w:pStyle w:val="Heading1"/>
      </w:pPr>
      <w:r>
        <w:t>二、执行摘要</w:t>
      </w:r>
    </w:p>
    <w:p>
      <w:pPr>
        <w:pStyle w:val="ListBullet"/>
      </w:pPr>
      <w:r>
        <w:t>本年度项目围绕“提升设备可用率、缩短故障响应、降低停机损失”三大目标推进，整体执行达成率良好。</w:t>
      </w:r>
    </w:p>
    <w:p>
      <w:pPr>
        <w:pStyle w:val="ListBullet"/>
      </w:pPr>
      <w:r>
        <w:t>南宁新能源电力运维市场呈现“装机扩容持续、存量运维精细化、数字化改造加速”三大特征。</w:t>
      </w:r>
    </w:p>
    <w:p>
      <w:pPr>
        <w:pStyle w:val="ListBullet"/>
      </w:pPr>
      <w:r>
        <w:t>建议下一阶段优先投入：预测性维护平台、关键备件前置仓、运维班组技能分级体系。</w:t>
      </w:r>
    </w:p>
    <w:p>
      <w:pPr>
        <w:pStyle w:val="ListBullet"/>
      </w:pPr>
      <w:r>
        <w:t>预计未来12个月，区域运维需求仍保持稳中有升，服务价值将由“被动抢修”向“主动优化”迁移。</w:t>
      </w:r>
    </w:p>
    <w:p>
      <w:pPr>
        <w:pStyle w:val="Heading1"/>
      </w:pPr>
      <w:r>
        <w:t>三、项目执行与运维成果</w:t>
      </w:r>
    </w:p>
    <w:p>
      <w:r>
        <w:t>3.1 关键KPI完成情况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882"/>
          </w:tcPr>
          <w:p>
            <w:r>
              <w:t>指标</w:t>
            </w:r>
          </w:p>
        </w:tc>
        <w:tc>
          <w:tcPr>
            <w:tcW w:type="dxa" w:w="1882"/>
          </w:tcPr>
          <w:p>
            <w:r>
              <w:t>目标值</w:t>
            </w:r>
          </w:p>
        </w:tc>
        <w:tc>
          <w:tcPr>
            <w:tcW w:type="dxa" w:w="1882"/>
          </w:tcPr>
          <w:p>
            <w:r>
              <w:t>实际值</w:t>
            </w:r>
          </w:p>
        </w:tc>
        <w:tc>
          <w:tcPr>
            <w:tcW w:type="dxa" w:w="1882"/>
          </w:tcPr>
          <w:p>
            <w:r>
              <w:t>达成率</w:t>
            </w:r>
          </w:p>
        </w:tc>
        <w:tc>
          <w:tcPr>
            <w:tcW w:type="dxa" w:w="1882"/>
          </w:tcPr>
          <w:p>
            <w:r>
              <w:t>评价</w:t>
            </w:r>
          </w:p>
        </w:tc>
      </w:tr>
      <w:tr>
        <w:tc>
          <w:tcPr>
            <w:tcW w:type="dxa" w:w="1882"/>
          </w:tcPr>
          <w:p>
            <w:r>
              <w:t>系统可用率</w:t>
            </w:r>
          </w:p>
        </w:tc>
        <w:tc>
          <w:tcPr>
            <w:tcW w:type="dxa" w:w="1882"/>
          </w:tcPr>
          <w:p>
            <w:r>
              <w:t>≥99.50%</w:t>
            </w:r>
          </w:p>
        </w:tc>
        <w:tc>
          <w:tcPr>
            <w:tcW w:type="dxa" w:w="1882"/>
          </w:tcPr>
          <w:p>
            <w:r>
              <w:t>99.62%</w:t>
            </w:r>
          </w:p>
        </w:tc>
        <w:tc>
          <w:tcPr>
            <w:tcW w:type="dxa" w:w="1882"/>
          </w:tcPr>
          <w:p>
            <w:r>
              <w:t>100.1%</w:t>
            </w:r>
          </w:p>
        </w:tc>
        <w:tc>
          <w:tcPr>
            <w:tcW w:type="dxa" w:w="1882"/>
          </w:tcPr>
          <w:p>
            <w:r>
              <w:t>超额完成</w:t>
            </w:r>
          </w:p>
        </w:tc>
      </w:tr>
      <w:tr>
        <w:tc>
          <w:tcPr>
            <w:tcW w:type="dxa" w:w="1882"/>
          </w:tcPr>
          <w:p>
            <w:r>
              <w:t>故障平均响应时长</w:t>
            </w:r>
          </w:p>
        </w:tc>
        <w:tc>
          <w:tcPr>
            <w:tcW w:type="dxa" w:w="1882"/>
          </w:tcPr>
          <w:p>
            <w:r>
              <w:t>≤30分钟</w:t>
            </w:r>
          </w:p>
        </w:tc>
        <w:tc>
          <w:tcPr>
            <w:tcW w:type="dxa" w:w="1882"/>
          </w:tcPr>
          <w:p>
            <w:r>
              <w:t>24分钟</w:t>
            </w:r>
          </w:p>
        </w:tc>
        <w:tc>
          <w:tcPr>
            <w:tcW w:type="dxa" w:w="1882"/>
          </w:tcPr>
          <w:p>
            <w:r>
              <w:t>125.0%</w:t>
            </w:r>
          </w:p>
        </w:tc>
        <w:tc>
          <w:tcPr>
            <w:tcW w:type="dxa" w:w="1882"/>
          </w:tcPr>
          <w:p>
            <w:r>
              <w:t>优</w:t>
            </w:r>
          </w:p>
        </w:tc>
      </w:tr>
      <w:tr>
        <w:tc>
          <w:tcPr>
            <w:tcW w:type="dxa" w:w="1882"/>
          </w:tcPr>
          <w:p>
            <w:r>
              <w:t>故障平均修复时长</w:t>
            </w:r>
          </w:p>
        </w:tc>
        <w:tc>
          <w:tcPr>
            <w:tcW w:type="dxa" w:w="1882"/>
          </w:tcPr>
          <w:p>
            <w:r>
              <w:t>≤4小时</w:t>
            </w:r>
          </w:p>
        </w:tc>
        <w:tc>
          <w:tcPr>
            <w:tcW w:type="dxa" w:w="1882"/>
          </w:tcPr>
          <w:p>
            <w:r>
              <w:t>3.6小时</w:t>
            </w:r>
          </w:p>
        </w:tc>
        <w:tc>
          <w:tcPr>
            <w:tcW w:type="dxa" w:w="1882"/>
          </w:tcPr>
          <w:p>
            <w:r>
              <w:t>111.1%</w:t>
            </w:r>
          </w:p>
        </w:tc>
        <w:tc>
          <w:tcPr>
            <w:tcW w:type="dxa" w:w="1882"/>
          </w:tcPr>
          <w:p>
            <w:r>
              <w:t>优</w:t>
            </w:r>
          </w:p>
        </w:tc>
      </w:tr>
      <w:tr>
        <w:tc>
          <w:tcPr>
            <w:tcW w:type="dxa" w:w="1882"/>
          </w:tcPr>
          <w:p>
            <w:r>
              <w:t>计划检修准时完成率</w:t>
            </w:r>
          </w:p>
        </w:tc>
        <w:tc>
          <w:tcPr>
            <w:tcW w:type="dxa" w:w="1882"/>
          </w:tcPr>
          <w:p>
            <w:r>
              <w:t>≥95%</w:t>
            </w:r>
          </w:p>
        </w:tc>
        <w:tc>
          <w:tcPr>
            <w:tcW w:type="dxa" w:w="1882"/>
          </w:tcPr>
          <w:p>
            <w:r>
              <w:t>97.8%</w:t>
            </w:r>
          </w:p>
        </w:tc>
        <w:tc>
          <w:tcPr>
            <w:tcW w:type="dxa" w:w="1882"/>
          </w:tcPr>
          <w:p>
            <w:r>
              <w:t>102.9%</w:t>
            </w:r>
          </w:p>
        </w:tc>
        <w:tc>
          <w:tcPr>
            <w:tcW w:type="dxa" w:w="1882"/>
          </w:tcPr>
          <w:p>
            <w:r>
              <w:t>优</w:t>
            </w:r>
          </w:p>
        </w:tc>
      </w:tr>
      <w:tr>
        <w:tc>
          <w:tcPr>
            <w:tcW w:type="dxa" w:w="1882"/>
          </w:tcPr>
          <w:p>
            <w:r>
              <w:t>客户投诉率</w:t>
            </w:r>
          </w:p>
        </w:tc>
        <w:tc>
          <w:tcPr>
            <w:tcW w:type="dxa" w:w="1882"/>
          </w:tcPr>
          <w:p>
            <w:r>
              <w:t>≤1.5%</w:t>
            </w:r>
          </w:p>
        </w:tc>
        <w:tc>
          <w:tcPr>
            <w:tcW w:type="dxa" w:w="1882"/>
          </w:tcPr>
          <w:p>
            <w:r>
              <w:t>0.9%</w:t>
            </w:r>
          </w:p>
        </w:tc>
        <w:tc>
          <w:tcPr>
            <w:tcW w:type="dxa" w:w="1882"/>
          </w:tcPr>
          <w:p>
            <w:r>
              <w:t>166.7%</w:t>
            </w:r>
          </w:p>
        </w:tc>
        <w:tc>
          <w:tcPr>
            <w:tcW w:type="dxa" w:w="1882"/>
          </w:tcPr>
          <w:p>
            <w:r>
              <w:t>优</w:t>
            </w:r>
          </w:p>
        </w:tc>
      </w:tr>
    </w:tbl>
    <w:p>
      <w:r>
        <w:t>3.2 故障结构分析（示例）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882"/>
          </w:tcPr>
          <w:p>
            <w:r>
              <w:t>故障类型</w:t>
            </w:r>
          </w:p>
        </w:tc>
        <w:tc>
          <w:tcPr>
            <w:tcW w:type="dxa" w:w="1882"/>
          </w:tcPr>
          <w:p>
            <w:r>
              <w:t>发生次数</w:t>
            </w:r>
          </w:p>
        </w:tc>
        <w:tc>
          <w:tcPr>
            <w:tcW w:type="dxa" w:w="1882"/>
          </w:tcPr>
          <w:p>
            <w:r>
              <w:t>占比</w:t>
            </w:r>
          </w:p>
        </w:tc>
        <w:tc>
          <w:tcPr>
            <w:tcW w:type="dxa" w:w="1882"/>
          </w:tcPr>
          <w:p>
            <w:r>
              <w:t>平均修复时长</w:t>
            </w:r>
          </w:p>
        </w:tc>
        <w:tc>
          <w:tcPr>
            <w:tcW w:type="dxa" w:w="1882"/>
          </w:tcPr>
          <w:p>
            <w:r>
              <w:t>闭环率</w:t>
            </w:r>
          </w:p>
        </w:tc>
      </w:tr>
      <w:tr>
        <w:tc>
          <w:tcPr>
            <w:tcW w:type="dxa" w:w="1882"/>
          </w:tcPr>
          <w:p>
            <w:r>
              <w:t>逆变器异常</w:t>
            </w:r>
          </w:p>
        </w:tc>
        <w:tc>
          <w:tcPr>
            <w:tcW w:type="dxa" w:w="1882"/>
          </w:tcPr>
          <w:p>
            <w:r>
              <w:t>52</w:t>
            </w:r>
          </w:p>
        </w:tc>
        <w:tc>
          <w:tcPr>
            <w:tcW w:type="dxa" w:w="1882"/>
          </w:tcPr>
          <w:p>
            <w:r>
              <w:t>28.4%</w:t>
            </w:r>
          </w:p>
        </w:tc>
        <w:tc>
          <w:tcPr>
            <w:tcW w:type="dxa" w:w="1882"/>
          </w:tcPr>
          <w:p>
            <w:r>
              <w:t>2.9小时</w:t>
            </w:r>
          </w:p>
        </w:tc>
        <w:tc>
          <w:tcPr>
            <w:tcW w:type="dxa" w:w="1882"/>
          </w:tcPr>
          <w:p>
            <w:r>
              <w:t>100%</w:t>
            </w:r>
          </w:p>
        </w:tc>
      </w:tr>
      <w:tr>
        <w:tc>
          <w:tcPr>
            <w:tcW w:type="dxa" w:w="1882"/>
          </w:tcPr>
          <w:p>
            <w:r>
              <w:t>汇流箱告警</w:t>
            </w:r>
          </w:p>
        </w:tc>
        <w:tc>
          <w:tcPr>
            <w:tcW w:type="dxa" w:w="1882"/>
          </w:tcPr>
          <w:p>
            <w:r>
              <w:t>37</w:t>
            </w:r>
          </w:p>
        </w:tc>
        <w:tc>
          <w:tcPr>
            <w:tcW w:type="dxa" w:w="1882"/>
          </w:tcPr>
          <w:p>
            <w:r>
              <w:t>20.2%</w:t>
            </w:r>
          </w:p>
        </w:tc>
        <w:tc>
          <w:tcPr>
            <w:tcW w:type="dxa" w:w="1882"/>
          </w:tcPr>
          <w:p>
            <w:r>
              <w:t>2.1小时</w:t>
            </w:r>
          </w:p>
        </w:tc>
        <w:tc>
          <w:tcPr>
            <w:tcW w:type="dxa" w:w="1882"/>
          </w:tcPr>
          <w:p>
            <w:r>
              <w:t>100%</w:t>
            </w:r>
          </w:p>
        </w:tc>
      </w:tr>
      <w:tr>
        <w:tc>
          <w:tcPr>
            <w:tcW w:type="dxa" w:w="1882"/>
          </w:tcPr>
          <w:p>
            <w:r>
              <w:t>通讯中断</w:t>
            </w:r>
          </w:p>
        </w:tc>
        <w:tc>
          <w:tcPr>
            <w:tcW w:type="dxa" w:w="1882"/>
          </w:tcPr>
          <w:p>
            <w:r>
              <w:t>31</w:t>
            </w:r>
          </w:p>
        </w:tc>
        <w:tc>
          <w:tcPr>
            <w:tcW w:type="dxa" w:w="1882"/>
          </w:tcPr>
          <w:p>
            <w:r>
              <w:t>16.9%</w:t>
            </w:r>
          </w:p>
        </w:tc>
        <w:tc>
          <w:tcPr>
            <w:tcW w:type="dxa" w:w="1882"/>
          </w:tcPr>
          <w:p>
            <w:r>
              <w:t>1.4小时</w:t>
            </w:r>
          </w:p>
        </w:tc>
        <w:tc>
          <w:tcPr>
            <w:tcW w:type="dxa" w:w="1882"/>
          </w:tcPr>
          <w:p>
            <w:r>
              <w:t>100%</w:t>
            </w:r>
          </w:p>
        </w:tc>
      </w:tr>
      <w:tr>
        <w:tc>
          <w:tcPr>
            <w:tcW w:type="dxa" w:w="1882"/>
          </w:tcPr>
          <w:p>
            <w:r>
              <w:t>储能控制故障</w:t>
            </w:r>
          </w:p>
        </w:tc>
        <w:tc>
          <w:tcPr>
            <w:tcW w:type="dxa" w:w="1882"/>
          </w:tcPr>
          <w:p>
            <w:r>
              <w:t>25</w:t>
            </w:r>
          </w:p>
        </w:tc>
        <w:tc>
          <w:tcPr>
            <w:tcW w:type="dxa" w:w="1882"/>
          </w:tcPr>
          <w:p>
            <w:r>
              <w:t>13.7%</w:t>
            </w:r>
          </w:p>
        </w:tc>
        <w:tc>
          <w:tcPr>
            <w:tcW w:type="dxa" w:w="1882"/>
          </w:tcPr>
          <w:p>
            <w:r>
              <w:t>4.8小时</w:t>
            </w:r>
          </w:p>
        </w:tc>
        <w:tc>
          <w:tcPr>
            <w:tcW w:type="dxa" w:w="1882"/>
          </w:tcPr>
          <w:p>
            <w:r>
              <w:t>96.0%</w:t>
            </w:r>
          </w:p>
        </w:tc>
      </w:tr>
      <w:tr>
        <w:tc>
          <w:tcPr>
            <w:tcW w:type="dxa" w:w="1882"/>
          </w:tcPr>
          <w:p>
            <w:r>
              <w:t>其他</w:t>
            </w:r>
          </w:p>
        </w:tc>
        <w:tc>
          <w:tcPr>
            <w:tcW w:type="dxa" w:w="1882"/>
          </w:tcPr>
          <w:p>
            <w:r>
              <w:t>38</w:t>
            </w:r>
          </w:p>
        </w:tc>
        <w:tc>
          <w:tcPr>
            <w:tcW w:type="dxa" w:w="1882"/>
          </w:tcPr>
          <w:p>
            <w:r>
              <w:t>20.8%</w:t>
            </w:r>
          </w:p>
        </w:tc>
        <w:tc>
          <w:tcPr>
            <w:tcW w:type="dxa" w:w="1882"/>
          </w:tcPr>
          <w:p>
            <w:r>
              <w:t>2.7小时</w:t>
            </w:r>
          </w:p>
        </w:tc>
        <w:tc>
          <w:tcPr>
            <w:tcW w:type="dxa" w:w="1882"/>
          </w:tcPr>
          <w:p>
            <w:r>
              <w:t>100%</w:t>
            </w:r>
          </w:p>
        </w:tc>
      </w:tr>
    </w:tbl>
    <w:p>
      <w:pPr>
        <w:pStyle w:val="Heading1"/>
      </w:pPr>
      <w:r>
        <w:t>四、南宁新能源电力维护市场行情分析</w:t>
      </w:r>
    </w:p>
    <w:p>
      <w:r>
        <w:t>4.1 市场现状（示例口径）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</w:tcPr>
          <w:p>
            <w:r>
              <w:t>维度</w:t>
            </w:r>
          </w:p>
        </w:tc>
        <w:tc>
          <w:tcPr>
            <w:tcW w:type="dxa" w:w="2353"/>
          </w:tcPr>
          <w:p>
            <w:r>
              <w:t>2024</w:t>
            </w:r>
          </w:p>
        </w:tc>
        <w:tc>
          <w:tcPr>
            <w:tcW w:type="dxa" w:w="2353"/>
          </w:tcPr>
          <w:p>
            <w:r>
              <w:t>2025</w:t>
            </w:r>
          </w:p>
        </w:tc>
        <w:tc>
          <w:tcPr>
            <w:tcW w:type="dxa" w:w="2353"/>
          </w:tcPr>
          <w:p>
            <w:r>
              <w:t>变化判断</w:t>
            </w:r>
          </w:p>
        </w:tc>
      </w:tr>
      <w:tr>
        <w:tc>
          <w:tcPr>
            <w:tcW w:type="dxa" w:w="2353"/>
          </w:tcPr>
          <w:p>
            <w:r>
              <w:t>区域新能源并网规模（相对指数）</w:t>
            </w:r>
          </w:p>
        </w:tc>
        <w:tc>
          <w:tcPr>
            <w:tcW w:type="dxa" w:w="2353"/>
          </w:tcPr>
          <w:p>
            <w:r>
              <w:t>100</w:t>
            </w:r>
          </w:p>
        </w:tc>
        <w:tc>
          <w:tcPr>
            <w:tcW w:type="dxa" w:w="2353"/>
          </w:tcPr>
          <w:p>
            <w:r>
              <w:t>118</w:t>
            </w:r>
          </w:p>
        </w:tc>
        <w:tc>
          <w:tcPr>
            <w:tcW w:type="dxa" w:w="2353"/>
          </w:tcPr>
          <w:p>
            <w:r>
              <w:t>持续扩容</w:t>
            </w:r>
          </w:p>
        </w:tc>
      </w:tr>
      <w:tr>
        <w:tc>
          <w:tcPr>
            <w:tcW w:type="dxa" w:w="2353"/>
          </w:tcPr>
          <w:p>
            <w:r>
              <w:t>第三方运维外包渗透率</w:t>
            </w:r>
          </w:p>
        </w:tc>
        <w:tc>
          <w:tcPr>
            <w:tcW w:type="dxa" w:w="2353"/>
          </w:tcPr>
          <w:p>
            <w:r>
              <w:t>42%</w:t>
            </w:r>
          </w:p>
        </w:tc>
        <w:tc>
          <w:tcPr>
            <w:tcW w:type="dxa" w:w="2353"/>
          </w:tcPr>
          <w:p>
            <w:r>
              <w:t>49%</w:t>
            </w:r>
          </w:p>
        </w:tc>
        <w:tc>
          <w:tcPr>
            <w:tcW w:type="dxa" w:w="2353"/>
          </w:tcPr>
          <w:p>
            <w:r>
              <w:t>稳步提升</w:t>
            </w:r>
          </w:p>
        </w:tc>
      </w:tr>
      <w:tr>
        <w:tc>
          <w:tcPr>
            <w:tcW w:type="dxa" w:w="2353"/>
          </w:tcPr>
          <w:p>
            <w:r>
              <w:t>综合运维单价（元/MW·月）</w:t>
            </w:r>
          </w:p>
        </w:tc>
        <w:tc>
          <w:tcPr>
            <w:tcW w:type="dxa" w:w="2353"/>
          </w:tcPr>
          <w:p>
            <w:r>
              <w:t>31,500</w:t>
            </w:r>
          </w:p>
        </w:tc>
        <w:tc>
          <w:tcPr>
            <w:tcW w:type="dxa" w:w="2353"/>
          </w:tcPr>
          <w:p>
            <w:r>
              <w:t>30,200</w:t>
            </w:r>
          </w:p>
        </w:tc>
        <w:tc>
          <w:tcPr>
            <w:tcW w:type="dxa" w:w="2353"/>
          </w:tcPr>
          <w:p>
            <w:r>
              <w:t>小幅下行（竞争加剧）</w:t>
            </w:r>
          </w:p>
        </w:tc>
      </w:tr>
      <w:tr>
        <w:tc>
          <w:tcPr>
            <w:tcW w:type="dxa" w:w="2353"/>
          </w:tcPr>
          <w:p>
            <w:r>
              <w:t>数字化运维项目占比</w:t>
            </w:r>
          </w:p>
        </w:tc>
        <w:tc>
          <w:tcPr>
            <w:tcW w:type="dxa" w:w="2353"/>
          </w:tcPr>
          <w:p>
            <w:r>
              <w:t>23%</w:t>
            </w:r>
          </w:p>
        </w:tc>
        <w:tc>
          <w:tcPr>
            <w:tcW w:type="dxa" w:w="2353"/>
          </w:tcPr>
          <w:p>
            <w:r>
              <w:t>34%</w:t>
            </w:r>
          </w:p>
        </w:tc>
        <w:tc>
          <w:tcPr>
            <w:tcW w:type="dxa" w:w="2353"/>
          </w:tcPr>
          <w:p>
            <w:r>
              <w:t>明显提升</w:t>
            </w:r>
          </w:p>
        </w:tc>
      </w:tr>
    </w:tbl>
    <w:p>
      <w:r>
        <w:t>4.2 成本与供给侧变化（示例）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882"/>
          </w:tcPr>
          <w:p>
            <w:r>
              <w:t>项目</w:t>
            </w:r>
          </w:p>
        </w:tc>
        <w:tc>
          <w:tcPr>
            <w:tcW w:type="dxa" w:w="1882"/>
          </w:tcPr>
          <w:p>
            <w:r>
              <w:t>2025Q1</w:t>
            </w:r>
          </w:p>
        </w:tc>
        <w:tc>
          <w:tcPr>
            <w:tcW w:type="dxa" w:w="1882"/>
          </w:tcPr>
          <w:p>
            <w:r>
              <w:t>2025Q2</w:t>
            </w:r>
          </w:p>
        </w:tc>
        <w:tc>
          <w:tcPr>
            <w:tcW w:type="dxa" w:w="1882"/>
          </w:tcPr>
          <w:p>
            <w:r>
              <w:t>2025Q3</w:t>
            </w:r>
          </w:p>
        </w:tc>
        <w:tc>
          <w:tcPr>
            <w:tcW w:type="dxa" w:w="1882"/>
          </w:tcPr>
          <w:p>
            <w:r>
              <w:t>2025Q4</w:t>
            </w:r>
          </w:p>
        </w:tc>
      </w:tr>
      <w:tr>
        <w:tc>
          <w:tcPr>
            <w:tcW w:type="dxa" w:w="1882"/>
          </w:tcPr>
          <w:p>
            <w:r>
              <w:t>关键备件采购指数</w:t>
            </w:r>
          </w:p>
        </w:tc>
        <w:tc>
          <w:tcPr>
            <w:tcW w:type="dxa" w:w="1882"/>
          </w:tcPr>
          <w:p>
            <w:r>
              <w:t>100</w:t>
            </w:r>
          </w:p>
        </w:tc>
        <w:tc>
          <w:tcPr>
            <w:tcW w:type="dxa" w:w="1882"/>
          </w:tcPr>
          <w:p>
            <w:r>
              <w:t>97</w:t>
            </w:r>
          </w:p>
        </w:tc>
        <w:tc>
          <w:tcPr>
            <w:tcW w:type="dxa" w:w="1882"/>
          </w:tcPr>
          <w:p>
            <w:r>
              <w:t>95</w:t>
            </w:r>
          </w:p>
        </w:tc>
        <w:tc>
          <w:tcPr>
            <w:tcW w:type="dxa" w:w="1882"/>
          </w:tcPr>
          <w:p>
            <w:r>
              <w:t>94</w:t>
            </w:r>
          </w:p>
        </w:tc>
      </w:tr>
      <w:tr>
        <w:tc>
          <w:tcPr>
            <w:tcW w:type="dxa" w:w="1882"/>
          </w:tcPr>
          <w:p>
            <w:r>
              <w:t>现场人工成本指数</w:t>
            </w:r>
          </w:p>
        </w:tc>
        <w:tc>
          <w:tcPr>
            <w:tcW w:type="dxa" w:w="1882"/>
          </w:tcPr>
          <w:p>
            <w:r>
              <w:t>100</w:t>
            </w:r>
          </w:p>
        </w:tc>
        <w:tc>
          <w:tcPr>
            <w:tcW w:type="dxa" w:w="1882"/>
          </w:tcPr>
          <w:p>
            <w:r>
              <w:t>102</w:t>
            </w:r>
          </w:p>
        </w:tc>
        <w:tc>
          <w:tcPr>
            <w:tcW w:type="dxa" w:w="1882"/>
          </w:tcPr>
          <w:p>
            <w:r>
              <w:t>104</w:t>
            </w:r>
          </w:p>
        </w:tc>
        <w:tc>
          <w:tcPr>
            <w:tcW w:type="dxa" w:w="1882"/>
          </w:tcPr>
          <w:p>
            <w:r>
              <w:t>106</w:t>
            </w:r>
          </w:p>
        </w:tc>
      </w:tr>
      <w:tr>
        <w:tc>
          <w:tcPr>
            <w:tcW w:type="dxa" w:w="1882"/>
          </w:tcPr>
          <w:p>
            <w:r>
              <w:t>交通与物流成本指数</w:t>
            </w:r>
          </w:p>
        </w:tc>
        <w:tc>
          <w:tcPr>
            <w:tcW w:type="dxa" w:w="1882"/>
          </w:tcPr>
          <w:p>
            <w:r>
              <w:t>100</w:t>
            </w:r>
          </w:p>
        </w:tc>
        <w:tc>
          <w:tcPr>
            <w:tcW w:type="dxa" w:w="1882"/>
          </w:tcPr>
          <w:p>
            <w:r>
              <w:t>99</w:t>
            </w:r>
          </w:p>
        </w:tc>
        <w:tc>
          <w:tcPr>
            <w:tcW w:type="dxa" w:w="1882"/>
          </w:tcPr>
          <w:p>
            <w:r>
              <w:t>101</w:t>
            </w:r>
          </w:p>
        </w:tc>
        <w:tc>
          <w:tcPr>
            <w:tcW w:type="dxa" w:w="1882"/>
          </w:tcPr>
          <w:p>
            <w:r>
              <w:t>103</w:t>
            </w:r>
          </w:p>
        </w:tc>
      </w:tr>
      <w:tr>
        <w:tc>
          <w:tcPr>
            <w:tcW w:type="dxa" w:w="1882"/>
          </w:tcPr>
          <w:p>
            <w:r>
              <w:t>数字化平台投入指数</w:t>
            </w:r>
          </w:p>
        </w:tc>
        <w:tc>
          <w:tcPr>
            <w:tcW w:type="dxa" w:w="1882"/>
          </w:tcPr>
          <w:p>
            <w:r>
              <w:t>100</w:t>
            </w:r>
          </w:p>
        </w:tc>
        <w:tc>
          <w:tcPr>
            <w:tcW w:type="dxa" w:w="1882"/>
          </w:tcPr>
          <w:p>
            <w:r>
              <w:t>108</w:t>
            </w:r>
          </w:p>
        </w:tc>
        <w:tc>
          <w:tcPr>
            <w:tcW w:type="dxa" w:w="1882"/>
          </w:tcPr>
          <w:p>
            <w:r>
              <w:t>116</w:t>
            </w:r>
          </w:p>
        </w:tc>
        <w:tc>
          <w:tcPr>
            <w:tcW w:type="dxa" w:w="1882"/>
          </w:tcPr>
          <w:p>
            <w:r>
              <w:t>123</w:t>
            </w:r>
          </w:p>
        </w:tc>
      </w:tr>
      <w:tr>
        <w:tc>
          <w:tcPr>
            <w:tcW w:type="dxa" w:w="1882"/>
          </w:tcPr>
          <w:p>
            <w:r>
              <w:t>综合毛利率（示例）</w:t>
            </w:r>
          </w:p>
        </w:tc>
        <w:tc>
          <w:tcPr>
            <w:tcW w:type="dxa" w:w="1882"/>
          </w:tcPr>
          <w:p>
            <w:r>
              <w:t>18.5%</w:t>
            </w:r>
          </w:p>
        </w:tc>
        <w:tc>
          <w:tcPr>
            <w:tcW w:type="dxa" w:w="1882"/>
          </w:tcPr>
          <w:p>
            <w:r>
              <w:t>18.2%</w:t>
            </w:r>
          </w:p>
        </w:tc>
        <w:tc>
          <w:tcPr>
            <w:tcW w:type="dxa" w:w="1882"/>
          </w:tcPr>
          <w:p>
            <w:r>
              <w:t>17.9%</w:t>
            </w:r>
          </w:p>
        </w:tc>
        <w:tc>
          <w:tcPr>
            <w:tcW w:type="dxa" w:w="1882"/>
          </w:tcPr>
          <w:p>
            <w:r>
              <w:t>17.6%</w:t>
            </w:r>
          </w:p>
        </w:tc>
      </w:tr>
    </w:tbl>
    <w:p>
      <w:pPr>
        <w:pStyle w:val="Heading1"/>
      </w:pPr>
      <w:r>
        <w:t>五、趋势研判与预测（未来12个月）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882"/>
          </w:tcPr>
          <w:p>
            <w:r>
              <w:t>情景</w:t>
            </w:r>
          </w:p>
        </w:tc>
        <w:tc>
          <w:tcPr>
            <w:tcW w:type="dxa" w:w="1882"/>
          </w:tcPr>
          <w:p>
            <w:r>
              <w:t>需求增速</w:t>
            </w:r>
          </w:p>
        </w:tc>
        <w:tc>
          <w:tcPr>
            <w:tcW w:type="dxa" w:w="1882"/>
          </w:tcPr>
          <w:p>
            <w:r>
              <w:t>价格趋势</w:t>
            </w:r>
          </w:p>
        </w:tc>
        <w:tc>
          <w:tcPr>
            <w:tcW w:type="dxa" w:w="1882"/>
          </w:tcPr>
          <w:p>
            <w:r>
              <w:t>项目机会</w:t>
            </w:r>
          </w:p>
        </w:tc>
        <w:tc>
          <w:tcPr>
            <w:tcW w:type="dxa" w:w="1882"/>
          </w:tcPr>
          <w:p>
            <w:r>
              <w:t>建议策略</w:t>
            </w:r>
          </w:p>
        </w:tc>
      </w:tr>
      <w:tr>
        <w:tc>
          <w:tcPr>
            <w:tcW w:type="dxa" w:w="1882"/>
          </w:tcPr>
          <w:p>
            <w:r>
              <w:t>基准情景</w:t>
            </w:r>
          </w:p>
        </w:tc>
        <w:tc>
          <w:tcPr>
            <w:tcW w:type="dxa" w:w="1882"/>
          </w:tcPr>
          <w:p>
            <w:r>
              <w:t>8%~12%</w:t>
            </w:r>
          </w:p>
        </w:tc>
        <w:tc>
          <w:tcPr>
            <w:tcW w:type="dxa" w:w="1882"/>
          </w:tcPr>
          <w:p>
            <w:r>
              <w:t>小幅下行</w:t>
            </w:r>
          </w:p>
        </w:tc>
        <w:tc>
          <w:tcPr>
            <w:tcW w:type="dxa" w:w="1882"/>
          </w:tcPr>
          <w:p>
            <w:r>
              <w:t>存量提效、数字化改造</w:t>
            </w:r>
          </w:p>
        </w:tc>
        <w:tc>
          <w:tcPr>
            <w:tcW w:type="dxa" w:w="1882"/>
          </w:tcPr>
          <w:p>
            <w:r>
              <w:t>巩固区域重点站点，提升预测性维护能力</w:t>
            </w:r>
          </w:p>
        </w:tc>
      </w:tr>
      <w:tr>
        <w:tc>
          <w:tcPr>
            <w:tcW w:type="dxa" w:w="1882"/>
          </w:tcPr>
          <w:p>
            <w:r>
              <w:t>乐观情景</w:t>
            </w:r>
          </w:p>
        </w:tc>
        <w:tc>
          <w:tcPr>
            <w:tcW w:type="dxa" w:w="1882"/>
          </w:tcPr>
          <w:p>
            <w:r>
              <w:t>12%~16%</w:t>
            </w:r>
          </w:p>
        </w:tc>
        <w:tc>
          <w:tcPr>
            <w:tcW w:type="dxa" w:w="1882"/>
          </w:tcPr>
          <w:p>
            <w:r>
              <w:t>平稳</w:t>
            </w:r>
          </w:p>
        </w:tc>
        <w:tc>
          <w:tcPr>
            <w:tcW w:type="dxa" w:w="1882"/>
          </w:tcPr>
          <w:p>
            <w:r>
              <w:t>新增储能与协同运维</w:t>
            </w:r>
          </w:p>
        </w:tc>
        <w:tc>
          <w:tcPr>
            <w:tcW w:type="dxa" w:w="1882"/>
          </w:tcPr>
          <w:p>
            <w:r>
              <w:t>提前锁定核心人力与备件资源</w:t>
            </w:r>
          </w:p>
        </w:tc>
      </w:tr>
      <w:tr>
        <w:tc>
          <w:tcPr>
            <w:tcW w:type="dxa" w:w="1882"/>
          </w:tcPr>
          <w:p>
            <w:r>
              <w:t>谨慎情景</w:t>
            </w:r>
          </w:p>
        </w:tc>
        <w:tc>
          <w:tcPr>
            <w:tcW w:type="dxa" w:w="1882"/>
          </w:tcPr>
          <w:p>
            <w:r>
              <w:t>4%~8%</w:t>
            </w:r>
          </w:p>
        </w:tc>
        <w:tc>
          <w:tcPr>
            <w:tcW w:type="dxa" w:w="1882"/>
          </w:tcPr>
          <w:p>
            <w:r>
              <w:t>下行</w:t>
            </w:r>
          </w:p>
        </w:tc>
        <w:tc>
          <w:tcPr>
            <w:tcW w:type="dxa" w:w="1882"/>
          </w:tcPr>
          <w:p>
            <w:r>
              <w:t>成本优化与服务整合</w:t>
            </w:r>
          </w:p>
        </w:tc>
        <w:tc>
          <w:tcPr>
            <w:tcW w:type="dxa" w:w="1882"/>
          </w:tcPr>
          <w:p>
            <w:r>
              <w:t>以SLA分级服务提升单位产出</w:t>
            </w:r>
          </w:p>
        </w:tc>
      </w:tr>
    </w:tbl>
    <w:p>
      <w:r>
        <w:rPr>
          <w:b/>
        </w:rPr>
        <w:t>重点风险提示：</w:t>
      </w:r>
    </w:p>
    <w:p>
      <w:pPr>
        <w:pStyle w:val="ListBullet"/>
      </w:pPr>
      <w:r>
        <w:t>电价机制与补贴政策调整，可能影响业主运维预算节奏；</w:t>
      </w:r>
    </w:p>
    <w:p>
      <w:pPr>
        <w:pStyle w:val="ListBullet"/>
      </w:pPr>
      <w:r>
        <w:t>高温季节叠加极端天气，突发故障工单可能集中释放；</w:t>
      </w:r>
    </w:p>
    <w:p>
      <w:pPr>
        <w:pStyle w:val="ListBullet"/>
      </w:pPr>
      <w:r>
        <w:t>价格竞争导致毛利承压，需通过数字化与流程优化提升效率。</w:t>
      </w:r>
    </w:p>
    <w:p>
      <w:pPr>
        <w:pStyle w:val="Heading1"/>
      </w:pPr>
      <w:r>
        <w:t>六、下一阶段执行计划与预算建议</w:t>
      </w:r>
    </w:p>
    <w:p>
      <w:r>
        <w:t>6.1 里程碑计划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2"/>
        <w:gridCol w:w="1882"/>
        <w:gridCol w:w="1882"/>
        <w:gridCol w:w="1882"/>
        <w:gridCol w:w="1882"/>
      </w:tblGrid>
      <w:tr>
        <w:tc>
          <w:tcPr>
            <w:tcW w:type="dxa" w:w="1882"/>
          </w:tcPr>
          <w:p>
            <w:r>
              <w:t>阶段</w:t>
            </w:r>
          </w:p>
        </w:tc>
        <w:tc>
          <w:tcPr>
            <w:tcW w:type="dxa" w:w="1882"/>
          </w:tcPr>
          <w:p>
            <w:r>
              <w:t>时间</w:t>
            </w:r>
          </w:p>
        </w:tc>
        <w:tc>
          <w:tcPr>
            <w:tcW w:type="dxa" w:w="1882"/>
          </w:tcPr>
          <w:p>
            <w:r>
              <w:t>关键动作</w:t>
            </w:r>
          </w:p>
        </w:tc>
        <w:tc>
          <w:tcPr>
            <w:tcW w:type="dxa" w:w="1882"/>
          </w:tcPr>
          <w:p>
            <w:r>
              <w:t>交付物</w:t>
            </w:r>
          </w:p>
        </w:tc>
        <w:tc>
          <w:tcPr>
            <w:tcW w:type="dxa" w:w="1882"/>
          </w:tcPr>
          <w:p>
            <w:r>
              <w:t>责任部门</w:t>
            </w:r>
          </w:p>
        </w:tc>
      </w:tr>
      <w:tr>
        <w:tc>
          <w:tcPr>
            <w:tcW w:type="dxa" w:w="1882"/>
          </w:tcPr>
          <w:p>
            <w:r>
              <w:t>阶段1</w:t>
            </w:r>
          </w:p>
        </w:tc>
        <w:tc>
          <w:tcPr>
            <w:tcW w:type="dxa" w:w="1882"/>
          </w:tcPr>
          <w:p>
            <w:r>
              <w:t>2026Q2</w:t>
            </w:r>
          </w:p>
        </w:tc>
        <w:tc>
          <w:tcPr>
            <w:tcW w:type="dxa" w:w="1882"/>
          </w:tcPr>
          <w:p>
            <w:r>
              <w:t>站点分级与风险建模</w:t>
            </w:r>
          </w:p>
        </w:tc>
        <w:tc>
          <w:tcPr>
            <w:tcW w:type="dxa" w:w="1882"/>
          </w:tcPr>
          <w:p>
            <w:r>
              <w:t>《站点分级与风险清单》</w:t>
            </w:r>
          </w:p>
        </w:tc>
        <w:tc>
          <w:tcPr>
            <w:tcW w:type="dxa" w:w="1882"/>
          </w:tcPr>
          <w:p>
            <w:r>
              <w:t>运维中心</w:t>
            </w:r>
          </w:p>
        </w:tc>
      </w:tr>
      <w:tr>
        <w:tc>
          <w:tcPr>
            <w:tcW w:type="dxa" w:w="1882"/>
          </w:tcPr>
          <w:p>
            <w:r>
              <w:t>阶段2</w:t>
            </w:r>
          </w:p>
        </w:tc>
        <w:tc>
          <w:tcPr>
            <w:tcW w:type="dxa" w:w="1882"/>
          </w:tcPr>
          <w:p>
            <w:r>
              <w:t>2026Q2~Q3</w:t>
            </w:r>
          </w:p>
        </w:tc>
        <w:tc>
          <w:tcPr>
            <w:tcW w:type="dxa" w:w="1882"/>
          </w:tcPr>
          <w:p>
            <w:r>
              <w:t>预测性维护试点（3个站点）</w:t>
            </w:r>
          </w:p>
        </w:tc>
        <w:tc>
          <w:tcPr>
            <w:tcW w:type="dxa" w:w="1882"/>
          </w:tcPr>
          <w:p>
            <w:r>
              <w:t>《试点评估报告》</w:t>
            </w:r>
          </w:p>
        </w:tc>
        <w:tc>
          <w:tcPr>
            <w:tcW w:type="dxa" w:w="1882"/>
          </w:tcPr>
          <w:p>
            <w:r>
              <w:t>技术部/数据组</w:t>
            </w:r>
          </w:p>
        </w:tc>
      </w:tr>
      <w:tr>
        <w:tc>
          <w:tcPr>
            <w:tcW w:type="dxa" w:w="1882"/>
          </w:tcPr>
          <w:p>
            <w:r>
              <w:t>阶段3</w:t>
            </w:r>
          </w:p>
        </w:tc>
        <w:tc>
          <w:tcPr>
            <w:tcW w:type="dxa" w:w="1882"/>
          </w:tcPr>
          <w:p>
            <w:r>
              <w:t>2026Q3</w:t>
            </w:r>
          </w:p>
        </w:tc>
        <w:tc>
          <w:tcPr>
            <w:tcW w:type="dxa" w:w="1882"/>
          </w:tcPr>
          <w:p>
            <w:r>
              <w:t>备件前置仓优化</w:t>
            </w:r>
          </w:p>
        </w:tc>
        <w:tc>
          <w:tcPr>
            <w:tcW w:type="dxa" w:w="1882"/>
          </w:tcPr>
          <w:p>
            <w:r>
              <w:t>《备件策略与周转方案》</w:t>
            </w:r>
          </w:p>
        </w:tc>
        <w:tc>
          <w:tcPr>
            <w:tcW w:type="dxa" w:w="1882"/>
          </w:tcPr>
          <w:p>
            <w:r>
              <w:t>供应链</w:t>
            </w:r>
          </w:p>
        </w:tc>
      </w:tr>
      <w:tr>
        <w:tc>
          <w:tcPr>
            <w:tcW w:type="dxa" w:w="1882"/>
          </w:tcPr>
          <w:p>
            <w:r>
              <w:t>阶段4</w:t>
            </w:r>
          </w:p>
        </w:tc>
        <w:tc>
          <w:tcPr>
            <w:tcW w:type="dxa" w:w="1882"/>
          </w:tcPr>
          <w:p>
            <w:r>
              <w:t>2026Q4</w:t>
            </w:r>
          </w:p>
        </w:tc>
        <w:tc>
          <w:tcPr>
            <w:tcW w:type="dxa" w:w="1882"/>
          </w:tcPr>
          <w:p>
            <w:r>
              <w:t>规模化推广与复盘</w:t>
            </w:r>
          </w:p>
        </w:tc>
        <w:tc>
          <w:tcPr>
            <w:tcW w:type="dxa" w:w="1882"/>
          </w:tcPr>
          <w:p>
            <w:r>
              <w:t>《年度优化复盘报告》</w:t>
            </w:r>
          </w:p>
        </w:tc>
        <w:tc>
          <w:tcPr>
            <w:tcW w:type="dxa" w:w="1882"/>
          </w:tcPr>
          <w:p>
            <w:r>
              <w:t>项目管理办</w:t>
            </w:r>
          </w:p>
        </w:tc>
      </w:tr>
    </w:tbl>
    <w:p>
      <w:r>
        <w:t>6.2 预算建议（示例）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</w:tcPr>
          <w:p>
            <w:r>
              <w:t>费用项</w:t>
            </w:r>
          </w:p>
        </w:tc>
        <w:tc>
          <w:tcPr>
            <w:tcW w:type="dxa" w:w="2353"/>
          </w:tcPr>
          <w:p>
            <w:r>
              <w:t>预算金额（万元）</w:t>
            </w:r>
          </w:p>
        </w:tc>
        <w:tc>
          <w:tcPr>
            <w:tcW w:type="dxa" w:w="2353"/>
          </w:tcPr>
          <w:p>
            <w:r>
              <w:t>占比</w:t>
            </w:r>
          </w:p>
        </w:tc>
        <w:tc>
          <w:tcPr>
            <w:tcW w:type="dxa" w:w="2353"/>
          </w:tcPr>
          <w:p>
            <w:r>
              <w:t>说明</w:t>
            </w:r>
          </w:p>
        </w:tc>
      </w:tr>
      <w:tr>
        <w:tc>
          <w:tcPr>
            <w:tcW w:type="dxa" w:w="2353"/>
          </w:tcPr>
          <w:p>
            <w:r>
              <w:t>现场运维人力</w:t>
            </w:r>
          </w:p>
        </w:tc>
        <w:tc>
          <w:tcPr>
            <w:tcW w:type="dxa" w:w="2353"/>
          </w:tcPr>
          <w:p>
            <w:r>
              <w:t>180</w:t>
            </w:r>
          </w:p>
        </w:tc>
        <w:tc>
          <w:tcPr>
            <w:tcW w:type="dxa" w:w="2353"/>
          </w:tcPr>
          <w:p>
            <w:r>
              <w:t>45%</w:t>
            </w:r>
          </w:p>
        </w:tc>
        <w:tc>
          <w:tcPr>
            <w:tcW w:type="dxa" w:w="2353"/>
          </w:tcPr>
          <w:p>
            <w:r>
              <w:t>班组与排班优化后口径</w:t>
            </w:r>
          </w:p>
        </w:tc>
      </w:tr>
      <w:tr>
        <w:tc>
          <w:tcPr>
            <w:tcW w:type="dxa" w:w="2353"/>
          </w:tcPr>
          <w:p>
            <w:r>
              <w:t>备件与耗材</w:t>
            </w:r>
          </w:p>
        </w:tc>
        <w:tc>
          <w:tcPr>
            <w:tcW w:type="dxa" w:w="2353"/>
          </w:tcPr>
          <w:p>
            <w:r>
              <w:t>95</w:t>
            </w:r>
          </w:p>
        </w:tc>
        <w:tc>
          <w:tcPr>
            <w:tcW w:type="dxa" w:w="2353"/>
          </w:tcPr>
          <w:p>
            <w:r>
              <w:t>24%</w:t>
            </w:r>
          </w:p>
        </w:tc>
        <w:tc>
          <w:tcPr>
            <w:tcW w:type="dxa" w:w="2353"/>
          </w:tcPr>
          <w:p>
            <w:r>
              <w:t>含逆变器与通讯类关键件</w:t>
            </w:r>
          </w:p>
        </w:tc>
      </w:tr>
      <w:tr>
        <w:tc>
          <w:tcPr>
            <w:tcW w:type="dxa" w:w="2353"/>
          </w:tcPr>
          <w:p>
            <w:r>
              <w:t>数字化平台与系统</w:t>
            </w:r>
          </w:p>
        </w:tc>
        <w:tc>
          <w:tcPr>
            <w:tcW w:type="dxa" w:w="2353"/>
          </w:tcPr>
          <w:p>
            <w:r>
              <w:t>62</w:t>
            </w:r>
          </w:p>
        </w:tc>
        <w:tc>
          <w:tcPr>
            <w:tcW w:type="dxa" w:w="2353"/>
          </w:tcPr>
          <w:p>
            <w:r>
              <w:t>16%</w:t>
            </w:r>
          </w:p>
        </w:tc>
        <w:tc>
          <w:tcPr>
            <w:tcW w:type="dxa" w:w="2353"/>
          </w:tcPr>
          <w:p>
            <w:r>
              <w:t>监测、告警、工单闭环</w:t>
            </w:r>
          </w:p>
        </w:tc>
      </w:tr>
      <w:tr>
        <w:tc>
          <w:tcPr>
            <w:tcW w:type="dxa" w:w="2353"/>
          </w:tcPr>
          <w:p>
            <w:r>
              <w:t>培训与安全投入</w:t>
            </w:r>
          </w:p>
        </w:tc>
        <w:tc>
          <w:tcPr>
            <w:tcW w:type="dxa" w:w="2353"/>
          </w:tcPr>
          <w:p>
            <w:r>
              <w:t>28</w:t>
            </w:r>
          </w:p>
        </w:tc>
        <w:tc>
          <w:tcPr>
            <w:tcW w:type="dxa" w:w="2353"/>
          </w:tcPr>
          <w:p>
            <w:r>
              <w:t>7%</w:t>
            </w:r>
          </w:p>
        </w:tc>
        <w:tc>
          <w:tcPr>
            <w:tcW w:type="dxa" w:w="2353"/>
          </w:tcPr>
          <w:p>
            <w:r>
              <w:t>技能认证与安全演练</w:t>
            </w:r>
          </w:p>
        </w:tc>
      </w:tr>
      <w:tr>
        <w:tc>
          <w:tcPr>
            <w:tcW w:type="dxa" w:w="2353"/>
          </w:tcPr>
          <w:p>
            <w:r>
              <w:t>预备费</w:t>
            </w:r>
          </w:p>
        </w:tc>
        <w:tc>
          <w:tcPr>
            <w:tcW w:type="dxa" w:w="2353"/>
          </w:tcPr>
          <w:p>
            <w:r>
              <w:t>35</w:t>
            </w:r>
          </w:p>
        </w:tc>
        <w:tc>
          <w:tcPr>
            <w:tcW w:type="dxa" w:w="2353"/>
          </w:tcPr>
          <w:p>
            <w:r>
              <w:t>8%</w:t>
            </w:r>
          </w:p>
        </w:tc>
        <w:tc>
          <w:tcPr>
            <w:tcW w:type="dxa" w:w="2353"/>
          </w:tcPr>
          <w:p>
            <w:r>
              <w:t>极端天气及突发事件</w:t>
            </w:r>
          </w:p>
        </w:tc>
      </w:tr>
    </w:tbl>
    <w:p>
      <w:pPr>
        <w:pStyle w:val="Heading1"/>
      </w:pPr>
      <w:r>
        <w:t>七、结论与建议</w:t>
      </w:r>
    </w:p>
    <w:p>
      <w:pPr>
        <w:pStyle w:val="ListBullet"/>
      </w:pPr>
      <w:r>
        <w:t>当前项目运行总体稳定，关键KPI多数优于目标，建议与甲方建立季度策略复盘机制。</w:t>
      </w:r>
    </w:p>
    <w:p>
      <w:pPr>
        <w:pStyle w:val="ListBullet"/>
      </w:pPr>
      <w:r>
        <w:t>南宁市场由“装机驱动”逐步转向“精细化运维驱动”，建议提前布局数据化运维能力。</w:t>
      </w:r>
    </w:p>
    <w:p>
      <w:pPr>
        <w:pStyle w:val="ListBullet"/>
      </w:pPr>
      <w:r>
        <w:t>在价格竞争环境下，建议通过标准化SOP、工具化巡检和预测性维护实现降本增效。</w:t>
      </w:r>
    </w:p>
    <w:p>
      <w:pPr>
        <w:pStyle w:val="ListBullet"/>
      </w:pPr>
      <w:r>
        <w:t>建议甲乙双方共同设立下一年度三项联合目标：可用率、单位运维成本、停机损失时长。</w:t>
      </w:r>
    </w:p>
    <w:p>
      <w:pPr>
        <w:pStyle w:val="Heading1"/>
      </w:pPr>
      <w:r>
        <w:t>附录（可按需补充）</w:t>
      </w:r>
    </w:p>
    <w:p>
      <w:r>
        <w:t>A. 原始台账与工单明细</w:t>
        <w:br/>
        <w:t>B. 站点月度巡检报告</w:t>
        <w:br/>
        <w:t>C. 甲方反馈与验收记录</w:t>
        <w:br/>
        <w:t>D. 数据口径说明与计算方法</w:t>
      </w:r>
    </w:p>
    <w:p>
      <w:pPr>
        <w:jc w:val="center"/>
      </w:pPr>
      <w:r>
        <w:br/>
        <w:t>（完）</w:t>
      </w:r>
    </w:p>
    <w:sectPr w:rsidR="00FC693F" w:rsidRPr="0006063C" w:rsidSect="00034616">
      <w:pgSz w:w="11906" w:h="16838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